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35B" w:rsidRDefault="00D1535B" w:rsidP="00D1535B">
      <w:bookmarkStart w:id="0" w:name="_GoBack"/>
      <w:r>
        <w:rPr>
          <w:rFonts w:hint="eastAsia"/>
        </w:rPr>
        <w:t>浙江省工程总承包计价规则（试行）</w:t>
      </w:r>
    </w:p>
    <w:bookmarkEnd w:id="0"/>
    <w:p w:rsidR="00D1535B" w:rsidRDefault="00D1535B" w:rsidP="00D1535B">
      <w:r>
        <w:t xml:space="preserve"> </w:t>
      </w:r>
    </w:p>
    <w:p w:rsidR="00D1535B" w:rsidRDefault="00D1535B" w:rsidP="00D1535B">
      <w:r>
        <w:t xml:space="preserve">       为规范我省工程总承包计价的行为，指导工程总承包计价活动，根据《住房城乡建设部关于进一步推进工程总承包发展的若干意见》（建市〔2016〕93号）要求，结合本省工程总承包试点实践，制定《浙江省工程总承包计价规则（试行）》（以下简称《规则》）。</w:t>
      </w:r>
    </w:p>
    <w:p w:rsidR="00D1535B" w:rsidRDefault="00D1535B" w:rsidP="00D1535B">
      <w:r>
        <w:t xml:space="preserve">       《规则》所称的工程总承包计价是指实行勘察、设计、采购、施工全过程或若干阶段的工程总承包项目招标控制价（估算、概算）及招标清单的编审、工程总承包项目投标价的编制、工程总承包合同价款的确定与调整及工程总承包项目结算价的编审等活动。</w:t>
      </w:r>
    </w:p>
    <w:p w:rsidR="00D1535B" w:rsidRDefault="00D1535B" w:rsidP="00D1535B">
      <w:r>
        <w:t xml:space="preserve">       《规则》由工程总承包费用项目组成、工程总承包费用项目计算、合同价款与工程结算、《工程总承包项目清单及计价参考表》（附件）四部分组成。本《规则》适用于本省行政区域范围内采用工程总承包的房屋建筑工程的计价活动，市政基础设施工程参照执行。</w:t>
      </w:r>
    </w:p>
    <w:p w:rsidR="00D1535B" w:rsidRDefault="00D1535B" w:rsidP="00D1535B">
      <w:r>
        <w:t xml:space="preserve"> </w:t>
      </w:r>
    </w:p>
    <w:p w:rsidR="00D1535B" w:rsidRDefault="00D1535B" w:rsidP="00D1535B">
      <w:r>
        <w:t xml:space="preserve">       一、工程总承包费用项目组成</w:t>
      </w:r>
    </w:p>
    <w:p w:rsidR="00D1535B" w:rsidRDefault="00D1535B" w:rsidP="00D1535B">
      <w:r>
        <w:t xml:space="preserve">       工程总承包根据不同阶段及费用性质，其费用项目组成如下：</w:t>
      </w:r>
    </w:p>
    <w:p w:rsidR="00D1535B" w:rsidRDefault="00D1535B" w:rsidP="00D1535B">
      <w:r>
        <w:t xml:space="preserve">      （一）勘察设计费</w:t>
      </w:r>
    </w:p>
    <w:p w:rsidR="00D1535B" w:rsidRDefault="00D1535B" w:rsidP="00D1535B">
      <w:r>
        <w:t xml:space="preserve">       勘察设计费包括工程勘察费和工程设计费</w:t>
      </w:r>
    </w:p>
    <w:p w:rsidR="00D1535B" w:rsidRDefault="00D1535B" w:rsidP="00D1535B">
      <w:r>
        <w:t xml:space="preserve">       1.工程勘察费</w:t>
      </w:r>
    </w:p>
    <w:p w:rsidR="00D1535B" w:rsidRDefault="00D1535B" w:rsidP="00D1535B">
      <w:r>
        <w:t xml:space="preserve">       工程勘察费是指工程总承包企业根据建设单位要求，自行或委托勘察人收集已有资料、现场踏勘、制订勘察纲要，进行测绘、勘探、取样、试验、测试、检测、监测等勘察作业，以及编制工程勘察文件和岩土工程设计文件等服务的费用。</w:t>
      </w:r>
    </w:p>
    <w:p w:rsidR="00D1535B" w:rsidRDefault="00D1535B" w:rsidP="00D1535B">
      <w:r>
        <w:t xml:space="preserve">       2.工程设计费</w:t>
      </w:r>
    </w:p>
    <w:p w:rsidR="00D1535B" w:rsidRDefault="00D1535B" w:rsidP="00D1535B">
      <w:r>
        <w:t xml:space="preserve">       工程设计费是指工程总承包企业根据建设单位要求，自行或委托设计人提供编制建设项目初步设计文件、施工图设计文件、非标准设备设计文件、施工图预算文件、竣工图文件等服务的费用。</w:t>
      </w:r>
    </w:p>
    <w:p w:rsidR="00D1535B" w:rsidRDefault="00D1535B" w:rsidP="00D1535B">
      <w:r>
        <w:t xml:space="preserve">       工程设计费根据不同的设计阶段及工程特点又可分为初步设计费、施工图设计费、技术设计费和其他设计费等。</w:t>
      </w:r>
    </w:p>
    <w:p w:rsidR="00D1535B" w:rsidRDefault="00D1535B" w:rsidP="00D1535B">
      <w:r>
        <w:t xml:space="preserve">       （二）设备购置费</w:t>
      </w:r>
    </w:p>
    <w:p w:rsidR="00D1535B" w:rsidRDefault="00D1535B" w:rsidP="00D1535B">
      <w:r>
        <w:t xml:space="preserve">       设备购置费是指为建设项目购置或者自制达到固定资产标准的各种国产或者进口设备、工具、器具的购置费用。设备购置费包括设备及备品备件的费用（不包括施工设备）。</w:t>
      </w:r>
    </w:p>
    <w:p w:rsidR="00D1535B" w:rsidRDefault="00D1535B" w:rsidP="00D1535B">
      <w:r>
        <w:t xml:space="preserve">       （三）建筑安装工程费</w:t>
      </w:r>
    </w:p>
    <w:p w:rsidR="00D1535B" w:rsidRDefault="00D1535B" w:rsidP="00D1535B">
      <w:r>
        <w:t xml:space="preserve">       建筑安装工程费项目根据《浙江省建设工程其他费用定额》划分为主要工程项目、辅助和服务性工程项目、室外工程项目及场外工程项目。每一不同工程项目可根据工程计价需要分为建筑工程费和安装工程费。</w:t>
      </w:r>
    </w:p>
    <w:p w:rsidR="00D1535B" w:rsidRDefault="00D1535B" w:rsidP="00D1535B">
      <w:r>
        <w:t xml:space="preserve">       1.主要工程项目</w:t>
      </w:r>
    </w:p>
    <w:p w:rsidR="00D1535B" w:rsidRDefault="00D1535B" w:rsidP="00D1535B">
      <w:r>
        <w:t xml:space="preserve">       主要工程项目是指主要使用功能部分的项目，如大楼或小区住宅的建筑和结构及室内水、电等项目。</w:t>
      </w:r>
    </w:p>
    <w:p w:rsidR="00D1535B" w:rsidRDefault="00D1535B" w:rsidP="00D1535B">
      <w:r>
        <w:t xml:space="preserve">       2.辅助和服务性工程项目</w:t>
      </w:r>
    </w:p>
    <w:p w:rsidR="00D1535B" w:rsidRDefault="00D1535B" w:rsidP="00D1535B">
      <w:r>
        <w:t xml:space="preserve">       辅助和服务性的工程项目是指辅助使用功能部分的项目，如车库、商店、娱乐、托儿所等服务设施。</w:t>
      </w:r>
    </w:p>
    <w:p w:rsidR="00D1535B" w:rsidRDefault="00D1535B" w:rsidP="00D1535B">
      <w:r>
        <w:t xml:space="preserve">       3.室外工程项目</w:t>
      </w:r>
    </w:p>
    <w:p w:rsidR="00D1535B" w:rsidRDefault="00D1535B" w:rsidP="00D1535B">
      <w:r>
        <w:t xml:space="preserve">       室外工程项目是指红线以内的其他配套工程项目，包括土石方、道路、围墙、挡土墙、排水沟等各种构筑物、给排水管道、动力管网、供电线路、庭园绿化等。</w:t>
      </w:r>
    </w:p>
    <w:p w:rsidR="00D1535B" w:rsidRDefault="00D1535B" w:rsidP="00D1535B">
      <w:r>
        <w:t xml:space="preserve">       4.场外工程项目（包括道路、铁路专用线、桥涵、给排水、供热、供电、通讯等工程）。</w:t>
      </w:r>
    </w:p>
    <w:p w:rsidR="00D1535B" w:rsidRDefault="00D1535B" w:rsidP="00D1535B">
      <w:r>
        <w:t xml:space="preserve">      （四）总承包管理及试运行服务费</w:t>
      </w:r>
    </w:p>
    <w:p w:rsidR="00D1535B" w:rsidRDefault="00D1535B" w:rsidP="00D1535B">
      <w:r>
        <w:lastRenderedPageBreak/>
        <w:t xml:space="preserve">       1.总承包管理费</w:t>
      </w:r>
    </w:p>
    <w:p w:rsidR="00D1535B" w:rsidRDefault="00D1535B" w:rsidP="00D1535B">
      <w:r>
        <w:t xml:space="preserve">       总承包管理费是指工程总承包企业组织勘察设计、设备购置、建筑安装施工及经营管理所需的费用以及对工程总承包管理应获的利润。内容包括总承包管理人员的工资、办公费、差旅交通费、工具用具使用费、保险费、税金、其他费用及利润等。</w:t>
      </w:r>
    </w:p>
    <w:p w:rsidR="00D1535B" w:rsidRDefault="00D1535B" w:rsidP="00D1535B">
      <w:r>
        <w:t xml:space="preserve">       2.试运行服务费</w:t>
      </w:r>
    </w:p>
    <w:p w:rsidR="00D1535B" w:rsidRDefault="00D1535B" w:rsidP="00D1535B">
      <w:r>
        <w:t xml:space="preserve">       试运行服务费是指工程总承包企业派驻具有相应资格和经验的指导人员，并提供所需要的其它临时辅助设备、设施、工具和器具及相应的准备工作所发生的费用。</w:t>
      </w:r>
    </w:p>
    <w:p w:rsidR="00D1535B" w:rsidRDefault="00D1535B" w:rsidP="00D1535B">
      <w:r>
        <w:t xml:space="preserve"> </w:t>
      </w:r>
    </w:p>
    <w:p w:rsidR="00D1535B" w:rsidRDefault="00D1535B" w:rsidP="00D1535B">
      <w:r>
        <w:t xml:space="preserve">       二、工程总承包费用项目计算</w:t>
      </w:r>
    </w:p>
    <w:p w:rsidR="00D1535B" w:rsidRDefault="00D1535B" w:rsidP="00D1535B">
      <w:r>
        <w:t xml:space="preserve">      （一）总则</w:t>
      </w:r>
    </w:p>
    <w:p w:rsidR="00D1535B" w:rsidRDefault="00D1535B" w:rsidP="00D1535B">
      <w:r>
        <w:t xml:space="preserve">       1.工程总承包项目费用可按《工程总承包项目清单及计价参考表》及有关要求计算。《工程总承包项目清单及计价参考表》详见附件。</w:t>
      </w:r>
    </w:p>
    <w:p w:rsidR="00D1535B" w:rsidRDefault="00D1535B" w:rsidP="00D1535B">
      <w:r>
        <w:t xml:space="preserve">       2.建设单位依据审批同意的方案设计或初步设计按工程总承包的内容（规模）和要求（标准）编制工程总承包项目清单和计算工程总承包项目招标控制价（估算或概算）。</w:t>
      </w:r>
    </w:p>
    <w:p w:rsidR="00D1535B" w:rsidRDefault="00D1535B" w:rsidP="00D1535B">
      <w:r>
        <w:t xml:space="preserve">       3.工程总承包企业依据总承包项目清单、设计文件及建设单位要求编制工程总承包的投标报价文件。</w:t>
      </w:r>
    </w:p>
    <w:p w:rsidR="00D1535B" w:rsidRDefault="00D1535B" w:rsidP="00D1535B">
      <w:r>
        <w:t xml:space="preserve">       4.招标文件中给定的，用于支付必然发生但暂时不能确定价格的费用（包括勘察设计费、设备采购费、建筑安装工程费）</w:t>
      </w:r>
      <w:proofErr w:type="gramStart"/>
      <w:r>
        <w:t>以暂估价</w:t>
      </w:r>
      <w:proofErr w:type="gramEnd"/>
      <w:r>
        <w:t>的形式计列。</w:t>
      </w:r>
    </w:p>
    <w:p w:rsidR="00D1535B" w:rsidRDefault="00D1535B" w:rsidP="00D1535B">
      <w:r>
        <w:t xml:space="preserve">       5.工程招标或签订合同（协议）时尚未确定的内容或不可预见的变更设计、施工及其所需材料、工程设备、服务等增加的费用按不可预见费计列。不可预见费使用权归属建设单位，签订总承包项目合同时，合同总价不包括不可预见费。</w:t>
      </w:r>
    </w:p>
    <w:p w:rsidR="00D1535B" w:rsidRDefault="00D1535B" w:rsidP="00D1535B">
      <w:r>
        <w:rPr>
          <w:rFonts w:hint="eastAsia"/>
        </w:rPr>
        <w:t>不可预见费＝工程费用×不可预见费费率</w:t>
      </w:r>
    </w:p>
    <w:p w:rsidR="00D1535B" w:rsidRDefault="00D1535B" w:rsidP="00D1535B">
      <w:r>
        <w:t xml:space="preserve">       工程费用＝勘察设计费+建筑安装工程费+设备购置</w:t>
      </w:r>
      <w:proofErr w:type="gramStart"/>
      <w:r>
        <w:t>费工程</w:t>
      </w:r>
      <w:proofErr w:type="gramEnd"/>
      <w:r>
        <w:t>费用包括暂估价。</w:t>
      </w:r>
    </w:p>
    <w:p w:rsidR="00D1535B" w:rsidRDefault="00D1535B" w:rsidP="00D1535B">
      <w:r>
        <w:t xml:space="preserve">       6. 勘察设计费、设备购置费及建筑安装工程费等均为</w:t>
      </w:r>
      <w:proofErr w:type="gramStart"/>
      <w:r>
        <w:t>全费用</w:t>
      </w:r>
      <w:proofErr w:type="gramEnd"/>
      <w:r>
        <w:t>价格（包括间接费、利润和税金）。</w:t>
      </w:r>
    </w:p>
    <w:p w:rsidR="00D1535B" w:rsidRDefault="00D1535B" w:rsidP="00D1535B">
      <w:r>
        <w:t xml:space="preserve">      （二）勘察设计费</w:t>
      </w:r>
    </w:p>
    <w:p w:rsidR="00D1535B" w:rsidRDefault="00D1535B" w:rsidP="00D1535B">
      <w:r>
        <w:t xml:space="preserve">       7.勘察设计费参照《浙江省工程建设其他费用定额》及其他有关规定计算。</w:t>
      </w:r>
    </w:p>
    <w:p w:rsidR="00D1535B" w:rsidRDefault="00D1535B" w:rsidP="00D1535B">
      <w:r>
        <w:t xml:space="preserve">      （三）设备购置费</w:t>
      </w:r>
    </w:p>
    <w:p w:rsidR="00D1535B" w:rsidRDefault="00D1535B" w:rsidP="00D1535B">
      <w:r>
        <w:t xml:space="preserve">       8.设备购置费的计算</w:t>
      </w:r>
    </w:p>
    <w:p w:rsidR="00D1535B" w:rsidRDefault="00D1535B" w:rsidP="00D1535B">
      <w:r>
        <w:t xml:space="preserve">       设备购置费=设备原价+设备运杂费</w:t>
      </w:r>
    </w:p>
    <w:p w:rsidR="00D1535B" w:rsidRDefault="00D1535B" w:rsidP="00D1535B">
      <w:r>
        <w:t xml:space="preserve">       设备运杂费主要由运费和装卸费、包装费、设备供销部门手续费、采购与保管费组成。</w:t>
      </w:r>
    </w:p>
    <w:p w:rsidR="00D1535B" w:rsidRDefault="00D1535B" w:rsidP="00D1535B">
      <w:r>
        <w:t xml:space="preserve">       9.建设单位按工程要求列出采购设备的清单，采购设备清单一般应包括设备及备品备件的规格、型号、数量。</w:t>
      </w:r>
    </w:p>
    <w:p w:rsidR="00D1535B" w:rsidRDefault="00D1535B" w:rsidP="00D1535B">
      <w:r>
        <w:t xml:space="preserve">       建设单位未列出具体设备（包括规格、型号、数量）的，工程总承包企业可按招标要求自主报价，但在投标报价文件中应注明所报设备及备品备件的规格、型号、数量。</w:t>
      </w:r>
    </w:p>
    <w:p w:rsidR="00D1535B" w:rsidRDefault="00D1535B" w:rsidP="00D1535B">
      <w:r>
        <w:t xml:space="preserve">       10.工程总承包企业应根据招标文件及采购设备清单的数量和要求计算设备购置费。</w:t>
      </w:r>
    </w:p>
    <w:p w:rsidR="00D1535B" w:rsidRDefault="00D1535B" w:rsidP="00D1535B">
      <w:r>
        <w:t xml:space="preserve">      （四）建筑安装工程费</w:t>
      </w:r>
    </w:p>
    <w:p w:rsidR="00D1535B" w:rsidRDefault="00D1535B" w:rsidP="00D1535B">
      <w:r>
        <w:t xml:space="preserve">       11.建设单位依据审批同意的方案设计编制建筑、安装工程估算；依据审批同意的初步设计编制建筑、安装工程概算。</w:t>
      </w:r>
    </w:p>
    <w:p w:rsidR="00D1535B" w:rsidRDefault="00D1535B" w:rsidP="00D1535B">
      <w:r>
        <w:t xml:space="preserve">       建筑、安装工程估算可依据相应工程项目的估算（概算）指标、指数等进行编制；建筑、安装工程概算可依据概算定额及相关指数等进行编制。</w:t>
      </w:r>
    </w:p>
    <w:p w:rsidR="00D1535B" w:rsidRDefault="00D1535B" w:rsidP="00D1535B">
      <w:r>
        <w:t xml:space="preserve">       12.工程总承包企业可依据企业自身的情况参考估算（概算）指标、指数、概算定额等编制投标价格。</w:t>
      </w:r>
    </w:p>
    <w:p w:rsidR="00D1535B" w:rsidRDefault="00D1535B" w:rsidP="00D1535B">
      <w:r>
        <w:lastRenderedPageBreak/>
        <w:t xml:space="preserve">      （五）总承包管理及试运行服务费</w:t>
      </w:r>
    </w:p>
    <w:p w:rsidR="00D1535B" w:rsidRDefault="00D1535B" w:rsidP="00D1535B">
      <w:r>
        <w:t xml:space="preserve">       13.工程总承包管理及试运行服务费以工程费用为基数乘以相应费率计算。</w:t>
      </w:r>
    </w:p>
    <w:p w:rsidR="00D1535B" w:rsidRDefault="00D1535B" w:rsidP="00D1535B">
      <w:r>
        <w:t xml:space="preserve">      （1）总承包管理费 =工程费用×总承包管理费费率</w:t>
      </w:r>
    </w:p>
    <w:p w:rsidR="00D1535B" w:rsidRDefault="00D1535B" w:rsidP="00D1535B">
      <w:r>
        <w:t xml:space="preserve">      （2）试运行服务费＝工程费用×试运行服务费费率</w:t>
      </w:r>
    </w:p>
    <w:p w:rsidR="00D1535B" w:rsidRDefault="00D1535B" w:rsidP="00D1535B">
      <w:r>
        <w:t xml:space="preserve"> </w:t>
      </w:r>
    </w:p>
    <w:p w:rsidR="00D1535B" w:rsidRDefault="00D1535B" w:rsidP="00D1535B">
      <w:r>
        <w:t xml:space="preserve">       三、合同价款与工程结算</w:t>
      </w:r>
    </w:p>
    <w:p w:rsidR="00D1535B" w:rsidRDefault="00D1535B" w:rsidP="00D1535B">
      <w:r>
        <w:t xml:space="preserve">       建设单位和工程总承包企业应根据中标价格确定合同价款。工程总承包企业按工程总承包招标项目清单的要求所报的价格清单是合同文件的组成部分。</w:t>
      </w:r>
    </w:p>
    <w:p w:rsidR="00D1535B" w:rsidRDefault="00D1535B" w:rsidP="00D1535B">
      <w:r>
        <w:t xml:space="preserve">       工程总承包合同宜采用总价包干的固定总价合同形式，除招标文件或工程总承包合同中约定的调价原则外，一般不予调整。</w:t>
      </w:r>
    </w:p>
    <w:p w:rsidR="00D1535B" w:rsidRDefault="00D1535B" w:rsidP="00D1535B">
      <w:r>
        <w:t xml:space="preserve">       建设单位和工程总承包企业应在工程总承包合同中约定总承包企业在工程设备、主要材料、人工等计价要素因价格波动引起所能承担的风险幅度。工程结算时，当计价要素的价格和招标时基期价相比，波动幅度超过总承包合同约定幅度部分的价差应予以调整。</w:t>
      </w:r>
    </w:p>
    <w:p w:rsidR="00D1535B" w:rsidRDefault="00D1535B" w:rsidP="00D1535B">
      <w:r>
        <w:t xml:space="preserve">       价差调整可采用价格指数调整或采用造价信息补差等方法。建设单位和工程总承包企业应在合同中明确价差调整的具体方法。</w:t>
      </w:r>
    </w:p>
    <w:p w:rsidR="00D1535B" w:rsidRPr="00D1535B" w:rsidRDefault="00D1535B" w:rsidP="00D1535B">
      <w:r>
        <w:t xml:space="preserve">       除本规则规定外，工程总承包合同价款可参照“工程总承包合同示范文本”相应合同条款约定。</w:t>
      </w:r>
    </w:p>
    <w:sectPr w:rsidR="00D1535B" w:rsidRPr="00D153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5B"/>
    <w:rsid w:val="00D1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AF946-73BE-4F2B-8BD5-CA33D66F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549343">
      <w:bodyDiv w:val="1"/>
      <w:marLeft w:val="0"/>
      <w:marRight w:val="0"/>
      <w:marTop w:val="0"/>
      <w:marBottom w:val="0"/>
      <w:divBdr>
        <w:top w:val="none" w:sz="0" w:space="0" w:color="auto"/>
        <w:left w:val="none" w:sz="0" w:space="0" w:color="auto"/>
        <w:bottom w:val="none" w:sz="0" w:space="0" w:color="auto"/>
        <w:right w:val="none" w:sz="0" w:space="0" w:color="auto"/>
      </w:divBdr>
      <w:divsChild>
        <w:div w:id="1620182308">
          <w:marLeft w:val="0"/>
          <w:marRight w:val="0"/>
          <w:marTop w:val="0"/>
          <w:marBottom w:val="0"/>
          <w:divBdr>
            <w:top w:val="none" w:sz="0" w:space="0" w:color="auto"/>
            <w:left w:val="none" w:sz="0" w:space="0" w:color="auto"/>
            <w:bottom w:val="none" w:sz="0" w:space="0" w:color="auto"/>
            <w:right w:val="none" w:sz="0" w:space="0" w:color="auto"/>
          </w:divBdr>
        </w:div>
        <w:div w:id="860121508">
          <w:marLeft w:val="0"/>
          <w:marRight w:val="0"/>
          <w:marTop w:val="0"/>
          <w:marBottom w:val="0"/>
          <w:divBdr>
            <w:top w:val="none" w:sz="0" w:space="0" w:color="auto"/>
            <w:left w:val="none" w:sz="0" w:space="0" w:color="auto"/>
            <w:bottom w:val="none" w:sz="0" w:space="0" w:color="auto"/>
            <w:right w:val="none" w:sz="0" w:space="0" w:color="auto"/>
          </w:divBdr>
        </w:div>
        <w:div w:id="1446383109">
          <w:marLeft w:val="0"/>
          <w:marRight w:val="0"/>
          <w:marTop w:val="0"/>
          <w:marBottom w:val="0"/>
          <w:divBdr>
            <w:top w:val="none" w:sz="0" w:space="0" w:color="auto"/>
            <w:left w:val="none" w:sz="0" w:space="0" w:color="auto"/>
            <w:bottom w:val="none" w:sz="0" w:space="0" w:color="auto"/>
            <w:right w:val="none" w:sz="0" w:space="0" w:color="auto"/>
          </w:divBdr>
        </w:div>
        <w:div w:id="1513492468">
          <w:marLeft w:val="0"/>
          <w:marRight w:val="0"/>
          <w:marTop w:val="0"/>
          <w:marBottom w:val="0"/>
          <w:divBdr>
            <w:top w:val="none" w:sz="0" w:space="0" w:color="auto"/>
            <w:left w:val="none" w:sz="0" w:space="0" w:color="auto"/>
            <w:bottom w:val="none" w:sz="0" w:space="0" w:color="auto"/>
            <w:right w:val="none" w:sz="0" w:space="0" w:color="auto"/>
          </w:divBdr>
        </w:div>
        <w:div w:id="2139954683">
          <w:marLeft w:val="0"/>
          <w:marRight w:val="0"/>
          <w:marTop w:val="0"/>
          <w:marBottom w:val="0"/>
          <w:divBdr>
            <w:top w:val="none" w:sz="0" w:space="0" w:color="auto"/>
            <w:left w:val="none" w:sz="0" w:space="0" w:color="auto"/>
            <w:bottom w:val="none" w:sz="0" w:space="0" w:color="auto"/>
            <w:right w:val="none" w:sz="0" w:space="0" w:color="auto"/>
          </w:divBdr>
        </w:div>
        <w:div w:id="1046956182">
          <w:marLeft w:val="0"/>
          <w:marRight w:val="0"/>
          <w:marTop w:val="0"/>
          <w:marBottom w:val="0"/>
          <w:divBdr>
            <w:top w:val="none" w:sz="0" w:space="0" w:color="auto"/>
            <w:left w:val="none" w:sz="0" w:space="0" w:color="auto"/>
            <w:bottom w:val="none" w:sz="0" w:space="0" w:color="auto"/>
            <w:right w:val="none" w:sz="0" w:space="0" w:color="auto"/>
          </w:divBdr>
        </w:div>
        <w:div w:id="1312247607">
          <w:marLeft w:val="0"/>
          <w:marRight w:val="0"/>
          <w:marTop w:val="0"/>
          <w:marBottom w:val="0"/>
          <w:divBdr>
            <w:top w:val="none" w:sz="0" w:space="0" w:color="auto"/>
            <w:left w:val="none" w:sz="0" w:space="0" w:color="auto"/>
            <w:bottom w:val="none" w:sz="0" w:space="0" w:color="auto"/>
            <w:right w:val="none" w:sz="0" w:space="0" w:color="auto"/>
          </w:divBdr>
        </w:div>
        <w:div w:id="437916731">
          <w:marLeft w:val="0"/>
          <w:marRight w:val="0"/>
          <w:marTop w:val="0"/>
          <w:marBottom w:val="0"/>
          <w:divBdr>
            <w:top w:val="none" w:sz="0" w:space="0" w:color="auto"/>
            <w:left w:val="none" w:sz="0" w:space="0" w:color="auto"/>
            <w:bottom w:val="none" w:sz="0" w:space="0" w:color="auto"/>
            <w:right w:val="none" w:sz="0" w:space="0" w:color="auto"/>
          </w:divBdr>
        </w:div>
        <w:div w:id="630940956">
          <w:marLeft w:val="0"/>
          <w:marRight w:val="0"/>
          <w:marTop w:val="0"/>
          <w:marBottom w:val="0"/>
          <w:divBdr>
            <w:top w:val="none" w:sz="0" w:space="0" w:color="auto"/>
            <w:left w:val="none" w:sz="0" w:space="0" w:color="auto"/>
            <w:bottom w:val="none" w:sz="0" w:space="0" w:color="auto"/>
            <w:right w:val="none" w:sz="0" w:space="0" w:color="auto"/>
          </w:divBdr>
        </w:div>
        <w:div w:id="295259116">
          <w:marLeft w:val="0"/>
          <w:marRight w:val="0"/>
          <w:marTop w:val="0"/>
          <w:marBottom w:val="0"/>
          <w:divBdr>
            <w:top w:val="none" w:sz="0" w:space="0" w:color="auto"/>
            <w:left w:val="none" w:sz="0" w:space="0" w:color="auto"/>
            <w:bottom w:val="none" w:sz="0" w:space="0" w:color="auto"/>
            <w:right w:val="none" w:sz="0" w:space="0" w:color="auto"/>
          </w:divBdr>
        </w:div>
        <w:div w:id="725615133">
          <w:marLeft w:val="0"/>
          <w:marRight w:val="0"/>
          <w:marTop w:val="0"/>
          <w:marBottom w:val="0"/>
          <w:divBdr>
            <w:top w:val="none" w:sz="0" w:space="0" w:color="auto"/>
            <w:left w:val="none" w:sz="0" w:space="0" w:color="auto"/>
            <w:bottom w:val="none" w:sz="0" w:space="0" w:color="auto"/>
            <w:right w:val="none" w:sz="0" w:space="0" w:color="auto"/>
          </w:divBdr>
        </w:div>
        <w:div w:id="691228826">
          <w:marLeft w:val="0"/>
          <w:marRight w:val="0"/>
          <w:marTop w:val="0"/>
          <w:marBottom w:val="0"/>
          <w:divBdr>
            <w:top w:val="none" w:sz="0" w:space="0" w:color="auto"/>
            <w:left w:val="none" w:sz="0" w:space="0" w:color="auto"/>
            <w:bottom w:val="none" w:sz="0" w:space="0" w:color="auto"/>
            <w:right w:val="none" w:sz="0" w:space="0" w:color="auto"/>
          </w:divBdr>
        </w:div>
        <w:div w:id="1330329226">
          <w:marLeft w:val="0"/>
          <w:marRight w:val="0"/>
          <w:marTop w:val="0"/>
          <w:marBottom w:val="0"/>
          <w:divBdr>
            <w:top w:val="none" w:sz="0" w:space="0" w:color="auto"/>
            <w:left w:val="none" w:sz="0" w:space="0" w:color="auto"/>
            <w:bottom w:val="none" w:sz="0" w:space="0" w:color="auto"/>
            <w:right w:val="none" w:sz="0" w:space="0" w:color="auto"/>
          </w:divBdr>
        </w:div>
        <w:div w:id="1531531137">
          <w:marLeft w:val="0"/>
          <w:marRight w:val="0"/>
          <w:marTop w:val="0"/>
          <w:marBottom w:val="0"/>
          <w:divBdr>
            <w:top w:val="none" w:sz="0" w:space="0" w:color="auto"/>
            <w:left w:val="none" w:sz="0" w:space="0" w:color="auto"/>
            <w:bottom w:val="none" w:sz="0" w:space="0" w:color="auto"/>
            <w:right w:val="none" w:sz="0" w:space="0" w:color="auto"/>
          </w:divBdr>
        </w:div>
        <w:div w:id="738943745">
          <w:marLeft w:val="0"/>
          <w:marRight w:val="0"/>
          <w:marTop w:val="0"/>
          <w:marBottom w:val="0"/>
          <w:divBdr>
            <w:top w:val="none" w:sz="0" w:space="0" w:color="auto"/>
            <w:left w:val="none" w:sz="0" w:space="0" w:color="auto"/>
            <w:bottom w:val="none" w:sz="0" w:space="0" w:color="auto"/>
            <w:right w:val="none" w:sz="0" w:space="0" w:color="auto"/>
          </w:divBdr>
        </w:div>
        <w:div w:id="1351226345">
          <w:marLeft w:val="0"/>
          <w:marRight w:val="0"/>
          <w:marTop w:val="0"/>
          <w:marBottom w:val="0"/>
          <w:divBdr>
            <w:top w:val="none" w:sz="0" w:space="0" w:color="auto"/>
            <w:left w:val="none" w:sz="0" w:space="0" w:color="auto"/>
            <w:bottom w:val="none" w:sz="0" w:space="0" w:color="auto"/>
            <w:right w:val="none" w:sz="0" w:space="0" w:color="auto"/>
          </w:divBdr>
        </w:div>
        <w:div w:id="1404376702">
          <w:marLeft w:val="0"/>
          <w:marRight w:val="0"/>
          <w:marTop w:val="0"/>
          <w:marBottom w:val="0"/>
          <w:divBdr>
            <w:top w:val="none" w:sz="0" w:space="0" w:color="auto"/>
            <w:left w:val="none" w:sz="0" w:space="0" w:color="auto"/>
            <w:bottom w:val="none" w:sz="0" w:space="0" w:color="auto"/>
            <w:right w:val="none" w:sz="0" w:space="0" w:color="auto"/>
          </w:divBdr>
        </w:div>
        <w:div w:id="1616213128">
          <w:marLeft w:val="0"/>
          <w:marRight w:val="0"/>
          <w:marTop w:val="0"/>
          <w:marBottom w:val="0"/>
          <w:divBdr>
            <w:top w:val="none" w:sz="0" w:space="0" w:color="auto"/>
            <w:left w:val="none" w:sz="0" w:space="0" w:color="auto"/>
            <w:bottom w:val="none" w:sz="0" w:space="0" w:color="auto"/>
            <w:right w:val="none" w:sz="0" w:space="0" w:color="auto"/>
          </w:divBdr>
        </w:div>
        <w:div w:id="680666845">
          <w:marLeft w:val="0"/>
          <w:marRight w:val="0"/>
          <w:marTop w:val="0"/>
          <w:marBottom w:val="0"/>
          <w:divBdr>
            <w:top w:val="none" w:sz="0" w:space="0" w:color="auto"/>
            <w:left w:val="none" w:sz="0" w:space="0" w:color="auto"/>
            <w:bottom w:val="none" w:sz="0" w:space="0" w:color="auto"/>
            <w:right w:val="none" w:sz="0" w:space="0" w:color="auto"/>
          </w:divBdr>
        </w:div>
        <w:div w:id="1968774408">
          <w:marLeft w:val="0"/>
          <w:marRight w:val="0"/>
          <w:marTop w:val="0"/>
          <w:marBottom w:val="0"/>
          <w:divBdr>
            <w:top w:val="none" w:sz="0" w:space="0" w:color="auto"/>
            <w:left w:val="none" w:sz="0" w:space="0" w:color="auto"/>
            <w:bottom w:val="none" w:sz="0" w:space="0" w:color="auto"/>
            <w:right w:val="none" w:sz="0" w:space="0" w:color="auto"/>
          </w:divBdr>
        </w:div>
        <w:div w:id="1476531569">
          <w:marLeft w:val="0"/>
          <w:marRight w:val="0"/>
          <w:marTop w:val="0"/>
          <w:marBottom w:val="0"/>
          <w:divBdr>
            <w:top w:val="none" w:sz="0" w:space="0" w:color="auto"/>
            <w:left w:val="none" w:sz="0" w:space="0" w:color="auto"/>
            <w:bottom w:val="none" w:sz="0" w:space="0" w:color="auto"/>
            <w:right w:val="none" w:sz="0" w:space="0" w:color="auto"/>
          </w:divBdr>
        </w:div>
        <w:div w:id="501552684">
          <w:marLeft w:val="0"/>
          <w:marRight w:val="0"/>
          <w:marTop w:val="0"/>
          <w:marBottom w:val="0"/>
          <w:divBdr>
            <w:top w:val="none" w:sz="0" w:space="0" w:color="auto"/>
            <w:left w:val="none" w:sz="0" w:space="0" w:color="auto"/>
            <w:bottom w:val="none" w:sz="0" w:space="0" w:color="auto"/>
            <w:right w:val="none" w:sz="0" w:space="0" w:color="auto"/>
          </w:divBdr>
        </w:div>
        <w:div w:id="321666592">
          <w:marLeft w:val="0"/>
          <w:marRight w:val="0"/>
          <w:marTop w:val="0"/>
          <w:marBottom w:val="0"/>
          <w:divBdr>
            <w:top w:val="none" w:sz="0" w:space="0" w:color="auto"/>
            <w:left w:val="none" w:sz="0" w:space="0" w:color="auto"/>
            <w:bottom w:val="none" w:sz="0" w:space="0" w:color="auto"/>
            <w:right w:val="none" w:sz="0" w:space="0" w:color="auto"/>
          </w:divBdr>
        </w:div>
        <w:div w:id="2127844381">
          <w:marLeft w:val="0"/>
          <w:marRight w:val="0"/>
          <w:marTop w:val="0"/>
          <w:marBottom w:val="0"/>
          <w:divBdr>
            <w:top w:val="none" w:sz="0" w:space="0" w:color="auto"/>
            <w:left w:val="none" w:sz="0" w:space="0" w:color="auto"/>
            <w:bottom w:val="none" w:sz="0" w:space="0" w:color="auto"/>
            <w:right w:val="none" w:sz="0" w:space="0" w:color="auto"/>
          </w:divBdr>
        </w:div>
        <w:div w:id="1903906692">
          <w:marLeft w:val="0"/>
          <w:marRight w:val="0"/>
          <w:marTop w:val="0"/>
          <w:marBottom w:val="0"/>
          <w:divBdr>
            <w:top w:val="none" w:sz="0" w:space="0" w:color="auto"/>
            <w:left w:val="none" w:sz="0" w:space="0" w:color="auto"/>
            <w:bottom w:val="none" w:sz="0" w:space="0" w:color="auto"/>
            <w:right w:val="none" w:sz="0" w:space="0" w:color="auto"/>
          </w:divBdr>
        </w:div>
        <w:div w:id="555051683">
          <w:marLeft w:val="0"/>
          <w:marRight w:val="0"/>
          <w:marTop w:val="0"/>
          <w:marBottom w:val="0"/>
          <w:divBdr>
            <w:top w:val="none" w:sz="0" w:space="0" w:color="auto"/>
            <w:left w:val="none" w:sz="0" w:space="0" w:color="auto"/>
            <w:bottom w:val="none" w:sz="0" w:space="0" w:color="auto"/>
            <w:right w:val="none" w:sz="0" w:space="0" w:color="auto"/>
          </w:divBdr>
        </w:div>
        <w:div w:id="601763313">
          <w:marLeft w:val="0"/>
          <w:marRight w:val="0"/>
          <w:marTop w:val="0"/>
          <w:marBottom w:val="0"/>
          <w:divBdr>
            <w:top w:val="none" w:sz="0" w:space="0" w:color="auto"/>
            <w:left w:val="none" w:sz="0" w:space="0" w:color="auto"/>
            <w:bottom w:val="none" w:sz="0" w:space="0" w:color="auto"/>
            <w:right w:val="none" w:sz="0" w:space="0" w:color="auto"/>
          </w:divBdr>
        </w:div>
        <w:div w:id="387849702">
          <w:marLeft w:val="0"/>
          <w:marRight w:val="0"/>
          <w:marTop w:val="0"/>
          <w:marBottom w:val="0"/>
          <w:divBdr>
            <w:top w:val="none" w:sz="0" w:space="0" w:color="auto"/>
            <w:left w:val="none" w:sz="0" w:space="0" w:color="auto"/>
            <w:bottom w:val="none" w:sz="0" w:space="0" w:color="auto"/>
            <w:right w:val="none" w:sz="0" w:space="0" w:color="auto"/>
          </w:divBdr>
        </w:div>
        <w:div w:id="569388958">
          <w:marLeft w:val="0"/>
          <w:marRight w:val="0"/>
          <w:marTop w:val="0"/>
          <w:marBottom w:val="0"/>
          <w:divBdr>
            <w:top w:val="none" w:sz="0" w:space="0" w:color="auto"/>
            <w:left w:val="none" w:sz="0" w:space="0" w:color="auto"/>
            <w:bottom w:val="none" w:sz="0" w:space="0" w:color="auto"/>
            <w:right w:val="none" w:sz="0" w:space="0" w:color="auto"/>
          </w:divBdr>
        </w:div>
        <w:div w:id="1256018764">
          <w:marLeft w:val="0"/>
          <w:marRight w:val="0"/>
          <w:marTop w:val="0"/>
          <w:marBottom w:val="0"/>
          <w:divBdr>
            <w:top w:val="none" w:sz="0" w:space="0" w:color="auto"/>
            <w:left w:val="none" w:sz="0" w:space="0" w:color="auto"/>
            <w:bottom w:val="none" w:sz="0" w:space="0" w:color="auto"/>
            <w:right w:val="none" w:sz="0" w:space="0" w:color="auto"/>
          </w:divBdr>
        </w:div>
        <w:div w:id="420293198">
          <w:marLeft w:val="0"/>
          <w:marRight w:val="0"/>
          <w:marTop w:val="0"/>
          <w:marBottom w:val="0"/>
          <w:divBdr>
            <w:top w:val="none" w:sz="0" w:space="0" w:color="auto"/>
            <w:left w:val="none" w:sz="0" w:space="0" w:color="auto"/>
            <w:bottom w:val="none" w:sz="0" w:space="0" w:color="auto"/>
            <w:right w:val="none" w:sz="0" w:space="0" w:color="auto"/>
          </w:divBdr>
        </w:div>
        <w:div w:id="2074035913">
          <w:marLeft w:val="0"/>
          <w:marRight w:val="0"/>
          <w:marTop w:val="0"/>
          <w:marBottom w:val="0"/>
          <w:divBdr>
            <w:top w:val="none" w:sz="0" w:space="0" w:color="auto"/>
            <w:left w:val="none" w:sz="0" w:space="0" w:color="auto"/>
            <w:bottom w:val="none" w:sz="0" w:space="0" w:color="auto"/>
            <w:right w:val="none" w:sz="0" w:space="0" w:color="auto"/>
          </w:divBdr>
        </w:div>
        <w:div w:id="734159830">
          <w:marLeft w:val="0"/>
          <w:marRight w:val="0"/>
          <w:marTop w:val="0"/>
          <w:marBottom w:val="0"/>
          <w:divBdr>
            <w:top w:val="none" w:sz="0" w:space="0" w:color="auto"/>
            <w:left w:val="none" w:sz="0" w:space="0" w:color="auto"/>
            <w:bottom w:val="none" w:sz="0" w:space="0" w:color="auto"/>
            <w:right w:val="none" w:sz="0" w:space="0" w:color="auto"/>
          </w:divBdr>
        </w:div>
        <w:div w:id="745032937">
          <w:marLeft w:val="0"/>
          <w:marRight w:val="0"/>
          <w:marTop w:val="0"/>
          <w:marBottom w:val="0"/>
          <w:divBdr>
            <w:top w:val="none" w:sz="0" w:space="0" w:color="auto"/>
            <w:left w:val="none" w:sz="0" w:space="0" w:color="auto"/>
            <w:bottom w:val="none" w:sz="0" w:space="0" w:color="auto"/>
            <w:right w:val="none" w:sz="0" w:space="0" w:color="auto"/>
          </w:divBdr>
        </w:div>
        <w:div w:id="629631801">
          <w:marLeft w:val="0"/>
          <w:marRight w:val="0"/>
          <w:marTop w:val="0"/>
          <w:marBottom w:val="0"/>
          <w:divBdr>
            <w:top w:val="none" w:sz="0" w:space="0" w:color="auto"/>
            <w:left w:val="none" w:sz="0" w:space="0" w:color="auto"/>
            <w:bottom w:val="none" w:sz="0" w:space="0" w:color="auto"/>
            <w:right w:val="none" w:sz="0" w:space="0" w:color="auto"/>
          </w:divBdr>
        </w:div>
        <w:div w:id="263848276">
          <w:marLeft w:val="0"/>
          <w:marRight w:val="0"/>
          <w:marTop w:val="0"/>
          <w:marBottom w:val="0"/>
          <w:divBdr>
            <w:top w:val="none" w:sz="0" w:space="0" w:color="auto"/>
            <w:left w:val="none" w:sz="0" w:space="0" w:color="auto"/>
            <w:bottom w:val="none" w:sz="0" w:space="0" w:color="auto"/>
            <w:right w:val="none" w:sz="0" w:space="0" w:color="auto"/>
          </w:divBdr>
        </w:div>
        <w:div w:id="1993874417">
          <w:marLeft w:val="0"/>
          <w:marRight w:val="0"/>
          <w:marTop w:val="0"/>
          <w:marBottom w:val="0"/>
          <w:divBdr>
            <w:top w:val="none" w:sz="0" w:space="0" w:color="auto"/>
            <w:left w:val="none" w:sz="0" w:space="0" w:color="auto"/>
            <w:bottom w:val="none" w:sz="0" w:space="0" w:color="auto"/>
            <w:right w:val="none" w:sz="0" w:space="0" w:color="auto"/>
          </w:divBdr>
        </w:div>
        <w:div w:id="49697375">
          <w:marLeft w:val="0"/>
          <w:marRight w:val="0"/>
          <w:marTop w:val="0"/>
          <w:marBottom w:val="0"/>
          <w:divBdr>
            <w:top w:val="none" w:sz="0" w:space="0" w:color="auto"/>
            <w:left w:val="none" w:sz="0" w:space="0" w:color="auto"/>
            <w:bottom w:val="none" w:sz="0" w:space="0" w:color="auto"/>
            <w:right w:val="none" w:sz="0" w:space="0" w:color="auto"/>
          </w:divBdr>
        </w:div>
        <w:div w:id="825435451">
          <w:marLeft w:val="0"/>
          <w:marRight w:val="0"/>
          <w:marTop w:val="0"/>
          <w:marBottom w:val="0"/>
          <w:divBdr>
            <w:top w:val="none" w:sz="0" w:space="0" w:color="auto"/>
            <w:left w:val="none" w:sz="0" w:space="0" w:color="auto"/>
            <w:bottom w:val="none" w:sz="0" w:space="0" w:color="auto"/>
            <w:right w:val="none" w:sz="0" w:space="0" w:color="auto"/>
          </w:divBdr>
        </w:div>
        <w:div w:id="1626741348">
          <w:marLeft w:val="0"/>
          <w:marRight w:val="0"/>
          <w:marTop w:val="0"/>
          <w:marBottom w:val="0"/>
          <w:divBdr>
            <w:top w:val="none" w:sz="0" w:space="0" w:color="auto"/>
            <w:left w:val="none" w:sz="0" w:space="0" w:color="auto"/>
            <w:bottom w:val="none" w:sz="0" w:space="0" w:color="auto"/>
            <w:right w:val="none" w:sz="0" w:space="0" w:color="auto"/>
          </w:divBdr>
        </w:div>
        <w:div w:id="165485400">
          <w:marLeft w:val="0"/>
          <w:marRight w:val="0"/>
          <w:marTop w:val="0"/>
          <w:marBottom w:val="0"/>
          <w:divBdr>
            <w:top w:val="none" w:sz="0" w:space="0" w:color="auto"/>
            <w:left w:val="none" w:sz="0" w:space="0" w:color="auto"/>
            <w:bottom w:val="none" w:sz="0" w:space="0" w:color="auto"/>
            <w:right w:val="none" w:sz="0" w:space="0" w:color="auto"/>
          </w:divBdr>
        </w:div>
        <w:div w:id="56441452">
          <w:marLeft w:val="0"/>
          <w:marRight w:val="0"/>
          <w:marTop w:val="0"/>
          <w:marBottom w:val="0"/>
          <w:divBdr>
            <w:top w:val="none" w:sz="0" w:space="0" w:color="auto"/>
            <w:left w:val="none" w:sz="0" w:space="0" w:color="auto"/>
            <w:bottom w:val="none" w:sz="0" w:space="0" w:color="auto"/>
            <w:right w:val="none" w:sz="0" w:space="0" w:color="auto"/>
          </w:divBdr>
        </w:div>
        <w:div w:id="1647734888">
          <w:marLeft w:val="0"/>
          <w:marRight w:val="0"/>
          <w:marTop w:val="0"/>
          <w:marBottom w:val="0"/>
          <w:divBdr>
            <w:top w:val="none" w:sz="0" w:space="0" w:color="auto"/>
            <w:left w:val="none" w:sz="0" w:space="0" w:color="auto"/>
            <w:bottom w:val="none" w:sz="0" w:space="0" w:color="auto"/>
            <w:right w:val="none" w:sz="0" w:space="0" w:color="auto"/>
          </w:divBdr>
        </w:div>
        <w:div w:id="1814373523">
          <w:marLeft w:val="0"/>
          <w:marRight w:val="0"/>
          <w:marTop w:val="0"/>
          <w:marBottom w:val="0"/>
          <w:divBdr>
            <w:top w:val="none" w:sz="0" w:space="0" w:color="auto"/>
            <w:left w:val="none" w:sz="0" w:space="0" w:color="auto"/>
            <w:bottom w:val="none" w:sz="0" w:space="0" w:color="auto"/>
            <w:right w:val="none" w:sz="0" w:space="0" w:color="auto"/>
          </w:divBdr>
        </w:div>
        <w:div w:id="612565217">
          <w:marLeft w:val="0"/>
          <w:marRight w:val="0"/>
          <w:marTop w:val="0"/>
          <w:marBottom w:val="0"/>
          <w:divBdr>
            <w:top w:val="none" w:sz="0" w:space="0" w:color="auto"/>
            <w:left w:val="none" w:sz="0" w:space="0" w:color="auto"/>
            <w:bottom w:val="none" w:sz="0" w:space="0" w:color="auto"/>
            <w:right w:val="none" w:sz="0" w:space="0" w:color="auto"/>
          </w:divBdr>
        </w:div>
        <w:div w:id="1349717561">
          <w:marLeft w:val="0"/>
          <w:marRight w:val="0"/>
          <w:marTop w:val="0"/>
          <w:marBottom w:val="0"/>
          <w:divBdr>
            <w:top w:val="none" w:sz="0" w:space="0" w:color="auto"/>
            <w:left w:val="none" w:sz="0" w:space="0" w:color="auto"/>
            <w:bottom w:val="none" w:sz="0" w:space="0" w:color="auto"/>
            <w:right w:val="none" w:sz="0" w:space="0" w:color="auto"/>
          </w:divBdr>
        </w:div>
        <w:div w:id="656081841">
          <w:marLeft w:val="0"/>
          <w:marRight w:val="0"/>
          <w:marTop w:val="0"/>
          <w:marBottom w:val="0"/>
          <w:divBdr>
            <w:top w:val="none" w:sz="0" w:space="0" w:color="auto"/>
            <w:left w:val="none" w:sz="0" w:space="0" w:color="auto"/>
            <w:bottom w:val="none" w:sz="0" w:space="0" w:color="auto"/>
            <w:right w:val="none" w:sz="0" w:space="0" w:color="auto"/>
          </w:divBdr>
        </w:div>
        <w:div w:id="355421633">
          <w:marLeft w:val="0"/>
          <w:marRight w:val="0"/>
          <w:marTop w:val="0"/>
          <w:marBottom w:val="0"/>
          <w:divBdr>
            <w:top w:val="none" w:sz="0" w:space="0" w:color="auto"/>
            <w:left w:val="none" w:sz="0" w:space="0" w:color="auto"/>
            <w:bottom w:val="none" w:sz="0" w:space="0" w:color="auto"/>
            <w:right w:val="none" w:sz="0" w:space="0" w:color="auto"/>
          </w:divBdr>
        </w:div>
        <w:div w:id="373045165">
          <w:marLeft w:val="0"/>
          <w:marRight w:val="0"/>
          <w:marTop w:val="0"/>
          <w:marBottom w:val="0"/>
          <w:divBdr>
            <w:top w:val="none" w:sz="0" w:space="0" w:color="auto"/>
            <w:left w:val="none" w:sz="0" w:space="0" w:color="auto"/>
            <w:bottom w:val="none" w:sz="0" w:space="0" w:color="auto"/>
            <w:right w:val="none" w:sz="0" w:space="0" w:color="auto"/>
          </w:divBdr>
        </w:div>
        <w:div w:id="137066735">
          <w:marLeft w:val="0"/>
          <w:marRight w:val="0"/>
          <w:marTop w:val="0"/>
          <w:marBottom w:val="0"/>
          <w:divBdr>
            <w:top w:val="none" w:sz="0" w:space="0" w:color="auto"/>
            <w:left w:val="none" w:sz="0" w:space="0" w:color="auto"/>
            <w:bottom w:val="none" w:sz="0" w:space="0" w:color="auto"/>
            <w:right w:val="none" w:sz="0" w:space="0" w:color="auto"/>
          </w:divBdr>
        </w:div>
        <w:div w:id="501555363">
          <w:marLeft w:val="0"/>
          <w:marRight w:val="0"/>
          <w:marTop w:val="0"/>
          <w:marBottom w:val="0"/>
          <w:divBdr>
            <w:top w:val="none" w:sz="0" w:space="0" w:color="auto"/>
            <w:left w:val="none" w:sz="0" w:space="0" w:color="auto"/>
            <w:bottom w:val="none" w:sz="0" w:space="0" w:color="auto"/>
            <w:right w:val="none" w:sz="0" w:space="0" w:color="auto"/>
          </w:divBdr>
        </w:div>
        <w:div w:id="791824333">
          <w:marLeft w:val="0"/>
          <w:marRight w:val="0"/>
          <w:marTop w:val="0"/>
          <w:marBottom w:val="0"/>
          <w:divBdr>
            <w:top w:val="none" w:sz="0" w:space="0" w:color="auto"/>
            <w:left w:val="none" w:sz="0" w:space="0" w:color="auto"/>
            <w:bottom w:val="none" w:sz="0" w:space="0" w:color="auto"/>
            <w:right w:val="none" w:sz="0" w:space="0" w:color="auto"/>
          </w:divBdr>
        </w:div>
        <w:div w:id="242494073">
          <w:marLeft w:val="0"/>
          <w:marRight w:val="0"/>
          <w:marTop w:val="0"/>
          <w:marBottom w:val="0"/>
          <w:divBdr>
            <w:top w:val="none" w:sz="0" w:space="0" w:color="auto"/>
            <w:left w:val="none" w:sz="0" w:space="0" w:color="auto"/>
            <w:bottom w:val="none" w:sz="0" w:space="0" w:color="auto"/>
            <w:right w:val="none" w:sz="0" w:space="0" w:color="auto"/>
          </w:divBdr>
        </w:div>
        <w:div w:id="102500629">
          <w:marLeft w:val="0"/>
          <w:marRight w:val="0"/>
          <w:marTop w:val="0"/>
          <w:marBottom w:val="0"/>
          <w:divBdr>
            <w:top w:val="none" w:sz="0" w:space="0" w:color="auto"/>
            <w:left w:val="none" w:sz="0" w:space="0" w:color="auto"/>
            <w:bottom w:val="none" w:sz="0" w:space="0" w:color="auto"/>
            <w:right w:val="none" w:sz="0" w:space="0" w:color="auto"/>
          </w:divBdr>
        </w:div>
        <w:div w:id="2084915481">
          <w:marLeft w:val="0"/>
          <w:marRight w:val="0"/>
          <w:marTop w:val="0"/>
          <w:marBottom w:val="0"/>
          <w:divBdr>
            <w:top w:val="none" w:sz="0" w:space="0" w:color="auto"/>
            <w:left w:val="none" w:sz="0" w:space="0" w:color="auto"/>
            <w:bottom w:val="none" w:sz="0" w:space="0" w:color="auto"/>
            <w:right w:val="none" w:sz="0" w:space="0" w:color="auto"/>
          </w:divBdr>
        </w:div>
        <w:div w:id="1941645680">
          <w:marLeft w:val="0"/>
          <w:marRight w:val="0"/>
          <w:marTop w:val="0"/>
          <w:marBottom w:val="0"/>
          <w:divBdr>
            <w:top w:val="none" w:sz="0" w:space="0" w:color="auto"/>
            <w:left w:val="none" w:sz="0" w:space="0" w:color="auto"/>
            <w:bottom w:val="none" w:sz="0" w:space="0" w:color="auto"/>
            <w:right w:val="none" w:sz="0" w:space="0" w:color="auto"/>
          </w:divBdr>
        </w:div>
        <w:div w:id="895169085">
          <w:marLeft w:val="0"/>
          <w:marRight w:val="0"/>
          <w:marTop w:val="0"/>
          <w:marBottom w:val="0"/>
          <w:divBdr>
            <w:top w:val="none" w:sz="0" w:space="0" w:color="auto"/>
            <w:left w:val="none" w:sz="0" w:space="0" w:color="auto"/>
            <w:bottom w:val="none" w:sz="0" w:space="0" w:color="auto"/>
            <w:right w:val="none" w:sz="0" w:space="0" w:color="auto"/>
          </w:divBdr>
        </w:div>
        <w:div w:id="1894585767">
          <w:marLeft w:val="0"/>
          <w:marRight w:val="0"/>
          <w:marTop w:val="0"/>
          <w:marBottom w:val="0"/>
          <w:divBdr>
            <w:top w:val="none" w:sz="0" w:space="0" w:color="auto"/>
            <w:left w:val="none" w:sz="0" w:space="0" w:color="auto"/>
            <w:bottom w:val="none" w:sz="0" w:space="0" w:color="auto"/>
            <w:right w:val="none" w:sz="0" w:space="0" w:color="auto"/>
          </w:divBdr>
        </w:div>
        <w:div w:id="1022827266">
          <w:marLeft w:val="0"/>
          <w:marRight w:val="0"/>
          <w:marTop w:val="0"/>
          <w:marBottom w:val="0"/>
          <w:divBdr>
            <w:top w:val="none" w:sz="0" w:space="0" w:color="auto"/>
            <w:left w:val="none" w:sz="0" w:space="0" w:color="auto"/>
            <w:bottom w:val="none" w:sz="0" w:space="0" w:color="auto"/>
            <w:right w:val="none" w:sz="0" w:space="0" w:color="auto"/>
          </w:divBdr>
        </w:div>
        <w:div w:id="812327609">
          <w:marLeft w:val="0"/>
          <w:marRight w:val="0"/>
          <w:marTop w:val="0"/>
          <w:marBottom w:val="0"/>
          <w:divBdr>
            <w:top w:val="none" w:sz="0" w:space="0" w:color="auto"/>
            <w:left w:val="none" w:sz="0" w:space="0" w:color="auto"/>
            <w:bottom w:val="none" w:sz="0" w:space="0" w:color="auto"/>
            <w:right w:val="none" w:sz="0" w:space="0" w:color="auto"/>
          </w:divBdr>
        </w:div>
        <w:div w:id="529804416">
          <w:marLeft w:val="0"/>
          <w:marRight w:val="0"/>
          <w:marTop w:val="0"/>
          <w:marBottom w:val="0"/>
          <w:divBdr>
            <w:top w:val="none" w:sz="0" w:space="0" w:color="auto"/>
            <w:left w:val="none" w:sz="0" w:space="0" w:color="auto"/>
            <w:bottom w:val="none" w:sz="0" w:space="0" w:color="auto"/>
            <w:right w:val="none" w:sz="0" w:space="0" w:color="auto"/>
          </w:divBdr>
        </w:div>
        <w:div w:id="1123579599">
          <w:marLeft w:val="0"/>
          <w:marRight w:val="0"/>
          <w:marTop w:val="0"/>
          <w:marBottom w:val="0"/>
          <w:divBdr>
            <w:top w:val="none" w:sz="0" w:space="0" w:color="auto"/>
            <w:left w:val="none" w:sz="0" w:space="0" w:color="auto"/>
            <w:bottom w:val="none" w:sz="0" w:space="0" w:color="auto"/>
            <w:right w:val="none" w:sz="0" w:space="0" w:color="auto"/>
          </w:divBdr>
        </w:div>
        <w:div w:id="125974977">
          <w:marLeft w:val="0"/>
          <w:marRight w:val="0"/>
          <w:marTop w:val="0"/>
          <w:marBottom w:val="0"/>
          <w:divBdr>
            <w:top w:val="none" w:sz="0" w:space="0" w:color="auto"/>
            <w:left w:val="none" w:sz="0" w:space="0" w:color="auto"/>
            <w:bottom w:val="none" w:sz="0" w:space="0" w:color="auto"/>
            <w:right w:val="none" w:sz="0" w:space="0" w:color="auto"/>
          </w:divBdr>
        </w:div>
        <w:div w:id="946933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余鑫炜</dc:creator>
  <cp:keywords/>
  <dc:description/>
  <cp:lastModifiedBy>余鑫炜</cp:lastModifiedBy>
  <cp:revision>1</cp:revision>
  <dcterms:created xsi:type="dcterms:W3CDTF">2018-01-04T01:40:00Z</dcterms:created>
  <dcterms:modified xsi:type="dcterms:W3CDTF">2018-01-04T01:41:00Z</dcterms:modified>
</cp:coreProperties>
</file>